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E5D4" w14:textId="7020B28E" w:rsidR="008F6C9D" w:rsidRDefault="008F6C9D" w:rsidP="00633003">
      <w:pPr>
        <w:spacing w:after="90" w:line="240" w:lineRule="auto"/>
        <w:rPr>
          <w:b/>
          <w:color w:val="1C1E21"/>
          <w:sz w:val="32"/>
          <w:szCs w:val="32"/>
          <w:u w:val="single"/>
        </w:rPr>
      </w:pPr>
    </w:p>
    <w:p w14:paraId="41C2C630" w14:textId="77777777" w:rsidR="008F6C9D" w:rsidRDefault="00BE4CBF">
      <w:pPr>
        <w:spacing w:after="90" w:line="240" w:lineRule="auto"/>
        <w:jc w:val="center"/>
        <w:rPr>
          <w:rFonts w:ascii="Times New Roman" w:eastAsia="Times New Roman" w:hAnsi="Times New Roman" w:cs="Times New Roman"/>
          <w:sz w:val="24"/>
          <w:szCs w:val="24"/>
        </w:rPr>
      </w:pPr>
      <w:r>
        <w:rPr>
          <w:b/>
          <w:color w:val="1C1E21"/>
          <w:sz w:val="32"/>
          <w:szCs w:val="32"/>
          <w:u w:val="single"/>
        </w:rPr>
        <w:t>Pathway to Podium</w:t>
      </w:r>
    </w:p>
    <w:p w14:paraId="683A06E9" w14:textId="77777777" w:rsidR="008F6C9D" w:rsidRDefault="008F6C9D">
      <w:pPr>
        <w:spacing w:after="0" w:line="240" w:lineRule="auto"/>
        <w:rPr>
          <w:rFonts w:ascii="Times New Roman" w:eastAsia="Times New Roman" w:hAnsi="Times New Roman" w:cs="Times New Roman"/>
          <w:sz w:val="24"/>
          <w:szCs w:val="24"/>
        </w:rPr>
      </w:pPr>
    </w:p>
    <w:p w14:paraId="152812EE" w14:textId="77777777" w:rsidR="008F6C9D" w:rsidRDefault="00BE4CBF">
      <w:pPr>
        <w:numPr>
          <w:ilvl w:val="0"/>
          <w:numId w:val="5"/>
        </w:numPr>
        <w:spacing w:after="90" w:line="240" w:lineRule="auto"/>
        <w:ind w:left="360"/>
        <w:rPr>
          <w:b/>
          <w:color w:val="1C1E21"/>
          <w:sz w:val="24"/>
          <w:szCs w:val="24"/>
        </w:rPr>
      </w:pPr>
      <w:r>
        <w:rPr>
          <w:b/>
          <w:color w:val="1C1E21"/>
          <w:sz w:val="24"/>
          <w:szCs w:val="24"/>
        </w:rPr>
        <w:t>Overview and Background </w:t>
      </w:r>
    </w:p>
    <w:p w14:paraId="3D6AF8B9" w14:textId="77777777" w:rsidR="008F6C9D" w:rsidRDefault="00BE4CBF">
      <w:pPr>
        <w:spacing w:before="90" w:after="90" w:line="240" w:lineRule="auto"/>
        <w:rPr>
          <w:rFonts w:ascii="Times New Roman" w:eastAsia="Times New Roman" w:hAnsi="Times New Roman" w:cs="Times New Roman"/>
        </w:rPr>
      </w:pPr>
      <w:r>
        <w:rPr>
          <w:b/>
          <w:color w:val="1C1E21"/>
          <w:sz w:val="24"/>
          <w:szCs w:val="24"/>
        </w:rPr>
        <w:t>Intent – Vision and Purpose</w:t>
      </w:r>
    </w:p>
    <w:p w14:paraId="4BD496E4" w14:textId="77777777" w:rsidR="008F6C9D" w:rsidRDefault="00BE4CBF">
      <w:pPr>
        <w:spacing w:before="90" w:after="90" w:line="240" w:lineRule="auto"/>
        <w:rPr>
          <w:rFonts w:ascii="Times New Roman" w:eastAsia="Times New Roman" w:hAnsi="Times New Roman" w:cs="Times New Roman"/>
        </w:rPr>
      </w:pPr>
      <w:r>
        <w:rPr>
          <w:color w:val="1C1E21"/>
          <w:sz w:val="24"/>
          <w:szCs w:val="24"/>
        </w:rPr>
        <w:t>The ‘Pathway to Podium’ (P2P) initiative has been designed to recognise and encourage schools’ contribution to Physical Education, school sport and physical activity (PESSPA).</w:t>
      </w:r>
    </w:p>
    <w:p w14:paraId="35AD7FD2" w14:textId="77777777" w:rsidR="008F6C9D" w:rsidRDefault="00BE4CBF">
      <w:pPr>
        <w:spacing w:before="90" w:after="90" w:line="240" w:lineRule="auto"/>
        <w:rPr>
          <w:rFonts w:ascii="Times New Roman" w:eastAsia="Times New Roman" w:hAnsi="Times New Roman" w:cs="Times New Roman"/>
        </w:rPr>
      </w:pPr>
      <w:r>
        <w:rPr>
          <w:color w:val="1C1E21"/>
          <w:sz w:val="24"/>
          <w:szCs w:val="24"/>
        </w:rPr>
        <w:t>It celebrates the positive work that schools are delivering in terms of PESSPA and supports schools to improve their offer for the benefit of children and young people.</w:t>
      </w:r>
    </w:p>
    <w:p w14:paraId="5C0D70B5" w14:textId="1FCB6260" w:rsidR="008F6C9D" w:rsidRDefault="00BE4CBF">
      <w:pPr>
        <w:spacing w:before="90" w:after="90" w:line="240" w:lineRule="auto"/>
        <w:rPr>
          <w:rFonts w:ascii="Times New Roman" w:eastAsia="Times New Roman" w:hAnsi="Times New Roman" w:cs="Times New Roman"/>
        </w:rPr>
      </w:pPr>
      <w:r>
        <w:rPr>
          <w:color w:val="1C1E21"/>
          <w:sz w:val="24"/>
          <w:szCs w:val="24"/>
        </w:rPr>
        <w:t>‘Pathway to Podium’ is available for all schools across Birmingham and is designed as a tool to increase the opportunities for young people to be active for a minimum of 60 minutes every day. </w:t>
      </w:r>
    </w:p>
    <w:p w14:paraId="0AA9AC4B" w14:textId="77777777" w:rsidR="008F6C9D" w:rsidRDefault="008F6C9D">
      <w:pPr>
        <w:spacing w:after="0" w:line="240" w:lineRule="auto"/>
        <w:rPr>
          <w:rFonts w:ascii="Times New Roman" w:eastAsia="Times New Roman" w:hAnsi="Times New Roman" w:cs="Times New Roman"/>
        </w:rPr>
      </w:pPr>
    </w:p>
    <w:p w14:paraId="2A43793D" w14:textId="77777777" w:rsidR="008F6C9D" w:rsidRDefault="00BE4CBF">
      <w:pPr>
        <w:spacing w:before="90" w:after="90" w:line="240" w:lineRule="auto"/>
        <w:rPr>
          <w:rFonts w:ascii="Times New Roman" w:eastAsia="Times New Roman" w:hAnsi="Times New Roman" w:cs="Times New Roman"/>
        </w:rPr>
      </w:pPr>
      <w:r>
        <w:rPr>
          <w:b/>
          <w:color w:val="1C1E21"/>
          <w:sz w:val="24"/>
          <w:szCs w:val="24"/>
        </w:rPr>
        <w:t>Implementation – Process</w:t>
      </w:r>
    </w:p>
    <w:p w14:paraId="798ED147" w14:textId="728547F9" w:rsidR="008F6C9D" w:rsidRDefault="00BE4CBF">
      <w:pPr>
        <w:spacing w:before="90" w:after="90" w:line="240" w:lineRule="auto"/>
        <w:rPr>
          <w:rFonts w:ascii="Times New Roman" w:eastAsia="Times New Roman" w:hAnsi="Times New Roman" w:cs="Times New Roman"/>
        </w:rPr>
      </w:pPr>
      <w:r>
        <w:rPr>
          <w:color w:val="1C1E21"/>
          <w:sz w:val="24"/>
          <w:szCs w:val="24"/>
        </w:rPr>
        <w:t>‘Pathway to Podium’ will provide a set of criteria across 5 key areas of PROFILE, PARTICIPATION, PERFORMANCE, PEOPLE and PLACES</w:t>
      </w:r>
      <w:r w:rsidR="006364F9">
        <w:rPr>
          <w:color w:val="1C1E21"/>
          <w:sz w:val="24"/>
          <w:szCs w:val="24"/>
        </w:rPr>
        <w:t>.</w:t>
      </w:r>
    </w:p>
    <w:p w14:paraId="76FF92DE" w14:textId="7E2715F6" w:rsidR="008F6C9D" w:rsidRDefault="00BE4CBF">
      <w:pPr>
        <w:spacing w:before="90" w:after="90" w:line="240" w:lineRule="auto"/>
        <w:rPr>
          <w:rFonts w:ascii="Times New Roman" w:eastAsia="Times New Roman" w:hAnsi="Times New Roman" w:cs="Times New Roman"/>
        </w:rPr>
      </w:pPr>
      <w:r>
        <w:rPr>
          <w:color w:val="1C1E21"/>
          <w:sz w:val="24"/>
          <w:szCs w:val="24"/>
        </w:rPr>
        <w:t>Schools will complete a self-assessment on each of the 5 key areas and then receive a rating (bronze, silver or gold) based on their responses. Schools will also have the opportunity to provide links to any additional or supporting information. </w:t>
      </w:r>
    </w:p>
    <w:p w14:paraId="45B23513" w14:textId="77777777" w:rsidR="008F6C9D" w:rsidRDefault="00BE4CBF">
      <w:pPr>
        <w:spacing w:before="90" w:after="90" w:line="240" w:lineRule="auto"/>
        <w:rPr>
          <w:rFonts w:ascii="Times New Roman" w:eastAsia="Times New Roman" w:hAnsi="Times New Roman" w:cs="Times New Roman"/>
        </w:rPr>
      </w:pPr>
      <w:r>
        <w:rPr>
          <w:color w:val="1C1E21"/>
          <w:sz w:val="24"/>
          <w:szCs w:val="24"/>
        </w:rPr>
        <w:t>Schools will use the initiative to develop an action pl</w:t>
      </w:r>
      <w:r w:rsidR="00814332">
        <w:rPr>
          <w:color w:val="1C1E21"/>
          <w:sz w:val="24"/>
          <w:szCs w:val="24"/>
        </w:rPr>
        <w:t>an with support from local and n</w:t>
      </w:r>
      <w:r>
        <w:rPr>
          <w:color w:val="1C1E21"/>
          <w:sz w:val="24"/>
          <w:szCs w:val="24"/>
        </w:rPr>
        <w:t>ational partners, which enhances their school offer in PESSPA and improves the outcomes for young people. Schools will be encouraged to re-assess on a yearly basis to evidence improvements.</w:t>
      </w:r>
    </w:p>
    <w:p w14:paraId="60AAFF6E" w14:textId="77777777" w:rsidR="008F6C9D" w:rsidRDefault="008F6C9D">
      <w:pPr>
        <w:spacing w:after="240" w:line="240" w:lineRule="auto"/>
        <w:rPr>
          <w:rFonts w:ascii="Times New Roman" w:eastAsia="Times New Roman" w:hAnsi="Times New Roman" w:cs="Times New Roman"/>
        </w:rPr>
      </w:pPr>
    </w:p>
    <w:p w14:paraId="1B15FD86" w14:textId="77777777" w:rsidR="008F6C9D" w:rsidRDefault="00BE4CBF">
      <w:pPr>
        <w:spacing w:before="90" w:after="90" w:line="240" w:lineRule="auto"/>
        <w:rPr>
          <w:rFonts w:ascii="Times New Roman" w:eastAsia="Times New Roman" w:hAnsi="Times New Roman" w:cs="Times New Roman"/>
        </w:rPr>
      </w:pPr>
      <w:r>
        <w:rPr>
          <w:b/>
          <w:color w:val="1C1E21"/>
          <w:sz w:val="24"/>
          <w:szCs w:val="24"/>
        </w:rPr>
        <w:t xml:space="preserve">Impact – Outcomes </w:t>
      </w:r>
      <w:r>
        <w:rPr>
          <w:color w:val="1C1E21"/>
          <w:sz w:val="24"/>
          <w:szCs w:val="24"/>
        </w:rPr>
        <w:t>‘Pathway to Podium’ will:</w:t>
      </w:r>
    </w:p>
    <w:p w14:paraId="35ABB9FF" w14:textId="77777777" w:rsidR="008F6C9D" w:rsidRDefault="00BE4CBF">
      <w:pPr>
        <w:numPr>
          <w:ilvl w:val="0"/>
          <w:numId w:val="6"/>
        </w:numPr>
        <w:spacing w:before="90" w:after="90" w:line="240" w:lineRule="auto"/>
        <w:rPr>
          <w:color w:val="1C1E21"/>
          <w:sz w:val="24"/>
          <w:szCs w:val="24"/>
        </w:rPr>
      </w:pPr>
      <w:r>
        <w:rPr>
          <w:color w:val="1C1E21"/>
          <w:sz w:val="24"/>
          <w:szCs w:val="24"/>
        </w:rPr>
        <w:t>Support schools to improve the physical activity opportunities they offer to pupils</w:t>
      </w:r>
    </w:p>
    <w:p w14:paraId="180B4DF2" w14:textId="77777777" w:rsidR="008F6C9D" w:rsidRDefault="00BE4CBF">
      <w:pPr>
        <w:numPr>
          <w:ilvl w:val="0"/>
          <w:numId w:val="6"/>
        </w:numPr>
        <w:spacing w:before="90" w:after="90" w:line="240" w:lineRule="auto"/>
        <w:rPr>
          <w:color w:val="1C1E21"/>
          <w:sz w:val="24"/>
          <w:szCs w:val="24"/>
        </w:rPr>
      </w:pPr>
      <w:r>
        <w:rPr>
          <w:color w:val="1C1E21"/>
          <w:sz w:val="24"/>
          <w:szCs w:val="24"/>
        </w:rPr>
        <w:t>Link to the national curriculum for PE, Ofsted and the wider cultural agenda </w:t>
      </w:r>
    </w:p>
    <w:p w14:paraId="0CEA4DE6" w14:textId="77777777" w:rsidR="008F6C9D" w:rsidRDefault="00BE4CBF">
      <w:pPr>
        <w:numPr>
          <w:ilvl w:val="0"/>
          <w:numId w:val="6"/>
        </w:numPr>
        <w:spacing w:before="90" w:after="90" w:line="240" w:lineRule="auto"/>
        <w:rPr>
          <w:color w:val="1C1E21"/>
          <w:sz w:val="24"/>
          <w:szCs w:val="24"/>
        </w:rPr>
      </w:pPr>
      <w:r>
        <w:rPr>
          <w:color w:val="1C1E21"/>
          <w:sz w:val="24"/>
          <w:szCs w:val="24"/>
        </w:rPr>
        <w:t>Reward schools with a package of professional learning opportunities and incentives</w:t>
      </w:r>
    </w:p>
    <w:p w14:paraId="13BB2E13" w14:textId="77777777" w:rsidR="008F6C9D" w:rsidRDefault="00BE4CBF">
      <w:pPr>
        <w:numPr>
          <w:ilvl w:val="0"/>
          <w:numId w:val="6"/>
        </w:numPr>
        <w:spacing w:before="90" w:after="90" w:line="240" w:lineRule="auto"/>
        <w:rPr>
          <w:color w:val="1C1E21"/>
          <w:sz w:val="24"/>
          <w:szCs w:val="24"/>
        </w:rPr>
      </w:pPr>
      <w:r>
        <w:rPr>
          <w:color w:val="1C1E21"/>
          <w:sz w:val="24"/>
          <w:szCs w:val="24"/>
        </w:rPr>
        <w:t>Opportunity to unlock resources at a local, regional and national level</w:t>
      </w:r>
    </w:p>
    <w:p w14:paraId="0EE34740" w14:textId="77777777" w:rsidR="008F6C9D" w:rsidRDefault="00BE4CBF">
      <w:pPr>
        <w:numPr>
          <w:ilvl w:val="0"/>
          <w:numId w:val="6"/>
        </w:numPr>
        <w:spacing w:before="90" w:after="90" w:line="240" w:lineRule="auto"/>
        <w:rPr>
          <w:color w:val="1C1E21"/>
          <w:sz w:val="24"/>
          <w:szCs w:val="24"/>
        </w:rPr>
      </w:pPr>
      <w:r>
        <w:rPr>
          <w:color w:val="1C1E21"/>
          <w:sz w:val="24"/>
          <w:szCs w:val="24"/>
        </w:rPr>
        <w:t>Link with other key related local and national projects</w:t>
      </w:r>
    </w:p>
    <w:p w14:paraId="39852AEE" w14:textId="77777777" w:rsidR="008F6C9D" w:rsidRDefault="00BE4C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4CCACAD" w14:textId="77777777" w:rsidR="008F6C9D" w:rsidRDefault="008F6C9D">
      <w:pPr>
        <w:spacing w:after="240" w:line="240" w:lineRule="auto"/>
        <w:rPr>
          <w:rFonts w:ascii="Times New Roman" w:eastAsia="Times New Roman" w:hAnsi="Times New Roman" w:cs="Times New Roman"/>
          <w:sz w:val="24"/>
          <w:szCs w:val="24"/>
        </w:rPr>
      </w:pPr>
    </w:p>
    <w:p w14:paraId="752779D1" w14:textId="77777777" w:rsidR="006364F9" w:rsidRDefault="006364F9">
      <w:pPr>
        <w:spacing w:after="240" w:line="240" w:lineRule="auto"/>
        <w:rPr>
          <w:rFonts w:ascii="Times New Roman" w:eastAsia="Times New Roman" w:hAnsi="Times New Roman" w:cs="Times New Roman"/>
          <w:sz w:val="24"/>
          <w:szCs w:val="24"/>
        </w:rPr>
      </w:pPr>
    </w:p>
    <w:p w14:paraId="2B64A1BA" w14:textId="4A150E6D" w:rsidR="008F6C9D" w:rsidRDefault="008F6C9D">
      <w:pPr>
        <w:spacing w:after="240" w:line="240" w:lineRule="auto"/>
        <w:rPr>
          <w:rFonts w:ascii="Times New Roman" w:eastAsia="Times New Roman" w:hAnsi="Times New Roman" w:cs="Times New Roman"/>
          <w:sz w:val="24"/>
          <w:szCs w:val="24"/>
        </w:rPr>
      </w:pPr>
    </w:p>
    <w:p w14:paraId="24D750FA" w14:textId="77777777" w:rsidR="00C548C8" w:rsidRDefault="00C548C8">
      <w:pPr>
        <w:spacing w:after="240" w:line="240" w:lineRule="auto"/>
        <w:rPr>
          <w:rFonts w:ascii="Times New Roman" w:eastAsia="Times New Roman" w:hAnsi="Times New Roman" w:cs="Times New Roman"/>
          <w:sz w:val="24"/>
          <w:szCs w:val="24"/>
        </w:rPr>
      </w:pPr>
    </w:p>
    <w:p w14:paraId="75D5ACDE" w14:textId="77777777" w:rsidR="006364F9" w:rsidRDefault="006364F9">
      <w:pPr>
        <w:spacing w:after="240" w:line="240" w:lineRule="auto"/>
        <w:rPr>
          <w:rFonts w:ascii="Times New Roman" w:eastAsia="Times New Roman" w:hAnsi="Times New Roman" w:cs="Times New Roman"/>
          <w:sz w:val="24"/>
          <w:szCs w:val="24"/>
        </w:rPr>
      </w:pPr>
    </w:p>
    <w:p w14:paraId="4E9D1DD5" w14:textId="77777777" w:rsidR="008F6C9D" w:rsidRDefault="00BE4CBF">
      <w:pPr>
        <w:numPr>
          <w:ilvl w:val="0"/>
          <w:numId w:val="7"/>
        </w:numPr>
        <w:spacing w:before="90" w:after="90" w:line="240" w:lineRule="auto"/>
        <w:ind w:left="360"/>
        <w:rPr>
          <w:b/>
          <w:color w:val="1C1E21"/>
          <w:sz w:val="24"/>
          <w:szCs w:val="24"/>
        </w:rPr>
      </w:pPr>
      <w:r>
        <w:rPr>
          <w:b/>
          <w:color w:val="1C1E21"/>
          <w:sz w:val="24"/>
          <w:szCs w:val="24"/>
        </w:rPr>
        <w:t>Guidance on the Process </w:t>
      </w:r>
    </w:p>
    <w:p w14:paraId="7C8E563B" w14:textId="77777777" w:rsidR="008F6C9D" w:rsidRDefault="00BE4CBF">
      <w:pPr>
        <w:spacing w:before="90" w:after="90" w:line="240" w:lineRule="auto"/>
        <w:ind w:left="360"/>
        <w:rPr>
          <w:rFonts w:ascii="Times New Roman" w:eastAsia="Times New Roman" w:hAnsi="Times New Roman" w:cs="Times New Roman"/>
        </w:rPr>
      </w:pPr>
      <w:r>
        <w:rPr>
          <w:color w:val="1C1E21"/>
          <w:sz w:val="24"/>
          <w:szCs w:val="24"/>
        </w:rPr>
        <w:t>The guidance includes the following:</w:t>
      </w:r>
    </w:p>
    <w:p w14:paraId="7B8F1E2D" w14:textId="77777777" w:rsidR="008F6C9D" w:rsidRDefault="00BE4CBF" w:rsidP="00370156">
      <w:pPr>
        <w:numPr>
          <w:ilvl w:val="1"/>
          <w:numId w:val="2"/>
        </w:numPr>
        <w:pBdr>
          <w:top w:val="nil"/>
          <w:left w:val="nil"/>
          <w:bottom w:val="nil"/>
          <w:right w:val="nil"/>
          <w:between w:val="nil"/>
        </w:pBdr>
        <w:spacing w:after="0" w:line="240" w:lineRule="auto"/>
        <w:ind w:left="567" w:hanging="141"/>
        <w:rPr>
          <w:b/>
          <w:color w:val="1C1E21"/>
          <w:sz w:val="24"/>
          <w:szCs w:val="24"/>
        </w:rPr>
      </w:pPr>
      <w:r>
        <w:rPr>
          <w:b/>
          <w:color w:val="1C1E21"/>
          <w:sz w:val="24"/>
          <w:szCs w:val="24"/>
        </w:rPr>
        <w:t>Overview of the process</w:t>
      </w:r>
    </w:p>
    <w:p w14:paraId="3C859138" w14:textId="77777777" w:rsidR="008F6C9D" w:rsidRDefault="00BE4CBF" w:rsidP="00370156">
      <w:pPr>
        <w:numPr>
          <w:ilvl w:val="1"/>
          <w:numId w:val="2"/>
        </w:numPr>
        <w:pBdr>
          <w:top w:val="nil"/>
          <w:left w:val="nil"/>
          <w:bottom w:val="nil"/>
          <w:right w:val="nil"/>
          <w:between w:val="nil"/>
        </w:pBdr>
        <w:spacing w:after="90" w:line="240" w:lineRule="auto"/>
        <w:ind w:left="567" w:hanging="141"/>
        <w:rPr>
          <w:b/>
          <w:color w:val="1C1E21"/>
          <w:sz w:val="24"/>
          <w:szCs w:val="24"/>
        </w:rPr>
      </w:pPr>
      <w:r>
        <w:rPr>
          <w:b/>
          <w:color w:val="1C1E21"/>
          <w:sz w:val="24"/>
          <w:szCs w:val="24"/>
        </w:rPr>
        <w:t>Benefits for schools</w:t>
      </w:r>
    </w:p>
    <w:p w14:paraId="6B20E855" w14:textId="77777777" w:rsidR="00B9106E" w:rsidRPr="00B9106E" w:rsidRDefault="00B9106E" w:rsidP="00370156">
      <w:pPr>
        <w:pStyle w:val="ListParagraph"/>
        <w:numPr>
          <w:ilvl w:val="1"/>
          <w:numId w:val="2"/>
        </w:numPr>
        <w:pBdr>
          <w:top w:val="nil"/>
          <w:left w:val="nil"/>
          <w:bottom w:val="nil"/>
          <w:right w:val="nil"/>
          <w:between w:val="nil"/>
        </w:pBdr>
        <w:spacing w:after="0" w:line="240" w:lineRule="auto"/>
        <w:ind w:hanging="1029"/>
        <w:rPr>
          <w:b/>
          <w:color w:val="1C1E21"/>
          <w:sz w:val="24"/>
          <w:szCs w:val="24"/>
        </w:rPr>
      </w:pPr>
      <w:r w:rsidRPr="00B9106E">
        <w:rPr>
          <w:b/>
          <w:color w:val="1C1E21"/>
          <w:sz w:val="24"/>
          <w:szCs w:val="24"/>
        </w:rPr>
        <w:t xml:space="preserve">Links to additional support materials and partner links </w:t>
      </w:r>
      <w:r>
        <w:rPr>
          <w:b/>
          <w:color w:val="1C1E21"/>
          <w:sz w:val="24"/>
          <w:szCs w:val="24"/>
        </w:rPr>
        <w:t>(Appendix 1)</w:t>
      </w:r>
    </w:p>
    <w:p w14:paraId="687E00A9" w14:textId="77777777" w:rsidR="00B9106E" w:rsidRDefault="00B9106E" w:rsidP="00B9106E">
      <w:pPr>
        <w:pBdr>
          <w:top w:val="nil"/>
          <w:left w:val="nil"/>
          <w:bottom w:val="nil"/>
          <w:right w:val="nil"/>
          <w:between w:val="nil"/>
        </w:pBdr>
        <w:spacing w:after="90" w:line="240" w:lineRule="auto"/>
        <w:ind w:left="567"/>
        <w:rPr>
          <w:b/>
          <w:color w:val="1C1E21"/>
          <w:sz w:val="24"/>
          <w:szCs w:val="24"/>
        </w:rPr>
      </w:pPr>
    </w:p>
    <w:p w14:paraId="44EC2FEE" w14:textId="77777777" w:rsidR="008F6C9D" w:rsidRDefault="008F6C9D">
      <w:pPr>
        <w:spacing w:after="0" w:line="240" w:lineRule="auto"/>
        <w:rPr>
          <w:rFonts w:ascii="Times New Roman" w:eastAsia="Times New Roman" w:hAnsi="Times New Roman" w:cs="Times New Roman"/>
        </w:rPr>
      </w:pPr>
    </w:p>
    <w:p w14:paraId="33F7A3D0" w14:textId="77777777" w:rsidR="008F6C9D" w:rsidRDefault="00BE4CBF">
      <w:pPr>
        <w:numPr>
          <w:ilvl w:val="1"/>
          <w:numId w:val="3"/>
        </w:numPr>
        <w:pBdr>
          <w:top w:val="nil"/>
          <w:left w:val="nil"/>
          <w:bottom w:val="nil"/>
          <w:right w:val="nil"/>
          <w:between w:val="nil"/>
        </w:pBdr>
        <w:spacing w:before="90" w:after="90" w:line="240" w:lineRule="auto"/>
        <w:ind w:left="1134" w:hanging="708"/>
        <w:rPr>
          <w:b/>
          <w:color w:val="1C1E21"/>
          <w:sz w:val="24"/>
          <w:szCs w:val="24"/>
        </w:rPr>
      </w:pPr>
      <w:r>
        <w:rPr>
          <w:b/>
          <w:color w:val="1C1E21"/>
          <w:sz w:val="24"/>
          <w:szCs w:val="24"/>
        </w:rPr>
        <w:t> Overview of the process </w:t>
      </w:r>
    </w:p>
    <w:p w14:paraId="3E54410C" w14:textId="77777777" w:rsidR="008F6C9D" w:rsidRDefault="00BE4CBF">
      <w:pPr>
        <w:spacing w:before="90" w:after="90" w:line="240" w:lineRule="auto"/>
        <w:ind w:left="375"/>
        <w:rPr>
          <w:color w:val="1C1E21"/>
          <w:sz w:val="24"/>
          <w:szCs w:val="24"/>
        </w:rPr>
      </w:pPr>
      <w:r>
        <w:rPr>
          <w:color w:val="1C1E21"/>
          <w:sz w:val="24"/>
          <w:szCs w:val="24"/>
        </w:rPr>
        <w:t>The Pathways to Podium (P2P) initiative is available to all schools across Birmingham. The first stage is a self-assessment of your current PESSPA offer. This will be followed by the development of an action plan with support and guidance to prioritise areas for improvement, with the aim of increasing high quality opportunities for pupils to be active.</w:t>
      </w:r>
    </w:p>
    <w:p w14:paraId="41504512" w14:textId="653CF2BE" w:rsidR="008F6C9D" w:rsidRDefault="00BE4CBF">
      <w:pPr>
        <w:spacing w:before="90" w:after="90" w:line="240" w:lineRule="auto"/>
        <w:ind w:left="375"/>
        <w:rPr>
          <w:color w:val="1C1E21"/>
          <w:sz w:val="24"/>
          <w:szCs w:val="24"/>
        </w:rPr>
      </w:pPr>
      <w:r>
        <w:rPr>
          <w:color w:val="1C1E21"/>
          <w:sz w:val="24"/>
          <w:szCs w:val="24"/>
        </w:rPr>
        <w:t>You will need to complete a self-assessment on each of the 5 key areas of PROFILE, PARTICIPATION, PERFORMANCE, PEOPLE and PLACES</w:t>
      </w:r>
      <w:r w:rsidR="006364F9">
        <w:rPr>
          <w:color w:val="1C1E21"/>
          <w:sz w:val="24"/>
          <w:szCs w:val="24"/>
        </w:rPr>
        <w:t xml:space="preserve">. </w:t>
      </w:r>
      <w:r>
        <w:rPr>
          <w:color w:val="1C1E21"/>
          <w:sz w:val="24"/>
          <w:szCs w:val="24"/>
        </w:rPr>
        <w:t>This will give you a Pathway to Podium award (bronze, silver or gold) based on your responses. </w:t>
      </w:r>
    </w:p>
    <w:p w14:paraId="3F76A9F7" w14:textId="77777777" w:rsidR="008F6C9D" w:rsidRDefault="008F6C9D">
      <w:pPr>
        <w:spacing w:after="0" w:line="240" w:lineRule="auto"/>
        <w:rPr>
          <w:rFonts w:ascii="Times New Roman" w:eastAsia="Times New Roman" w:hAnsi="Times New Roman" w:cs="Times New Roman"/>
        </w:rPr>
      </w:pPr>
    </w:p>
    <w:p w14:paraId="46634E2F" w14:textId="77777777" w:rsidR="008F6C9D" w:rsidRPr="00B9106E" w:rsidRDefault="00BE4CBF">
      <w:pPr>
        <w:spacing w:before="90" w:after="90" w:line="240" w:lineRule="auto"/>
        <w:ind w:left="375"/>
        <w:rPr>
          <w:b/>
          <w:color w:val="1C1E21"/>
          <w:sz w:val="24"/>
          <w:szCs w:val="24"/>
          <w:u w:val="single"/>
        </w:rPr>
      </w:pPr>
      <w:r w:rsidRPr="00B9106E">
        <w:rPr>
          <w:b/>
          <w:color w:val="1C1E21"/>
          <w:sz w:val="24"/>
          <w:szCs w:val="24"/>
          <w:u w:val="single"/>
        </w:rPr>
        <w:t>Self-assessment Phase</w:t>
      </w:r>
    </w:p>
    <w:p w14:paraId="2B79B890" w14:textId="1298063F" w:rsidR="008F6C9D" w:rsidRDefault="00BE4CBF" w:rsidP="000A36E1">
      <w:pPr>
        <w:spacing w:before="90" w:after="90" w:line="240" w:lineRule="auto"/>
        <w:ind w:left="375"/>
        <w:rPr>
          <w:color w:val="1C1E21"/>
          <w:sz w:val="24"/>
          <w:szCs w:val="24"/>
        </w:rPr>
      </w:pPr>
      <w:r>
        <w:rPr>
          <w:color w:val="1C1E21"/>
          <w:sz w:val="24"/>
          <w:szCs w:val="24"/>
        </w:rPr>
        <w:t>You will receive an Excel document. Please complete all tabs on this document as fully as possible. We recommend that the completion of this document is undertaken by a combination of Head Teacher, Lead Governor (or equivalent) and PE Lead.</w:t>
      </w:r>
    </w:p>
    <w:p w14:paraId="55C8CC16" w14:textId="6D344EB0" w:rsidR="008F6C9D" w:rsidRPr="000A36E1" w:rsidRDefault="00BE4CBF" w:rsidP="000A36E1">
      <w:pPr>
        <w:spacing w:before="90" w:after="90" w:line="240" w:lineRule="auto"/>
        <w:ind w:left="375"/>
        <w:rPr>
          <w:rFonts w:ascii="Times New Roman" w:eastAsia="Times New Roman" w:hAnsi="Times New Roman" w:cs="Times New Roman"/>
        </w:rPr>
      </w:pPr>
      <w:r>
        <w:rPr>
          <w:color w:val="1C1E21"/>
          <w:sz w:val="24"/>
          <w:szCs w:val="24"/>
        </w:rPr>
        <w:t>Please ensure that you complete the ‘School Details’ tab with the relevant school information, names and contacts.</w:t>
      </w:r>
    </w:p>
    <w:p w14:paraId="250B4030" w14:textId="0ABBB1CC" w:rsidR="008F6C9D" w:rsidRDefault="00BE4CBF" w:rsidP="000A36E1">
      <w:pPr>
        <w:spacing w:before="90" w:after="90" w:line="240" w:lineRule="auto"/>
        <w:ind w:left="375"/>
        <w:rPr>
          <w:rFonts w:ascii="Times New Roman" w:eastAsia="Times New Roman" w:hAnsi="Times New Roman" w:cs="Times New Roman"/>
        </w:rPr>
      </w:pPr>
      <w:r>
        <w:rPr>
          <w:color w:val="1C1E21"/>
          <w:sz w:val="24"/>
          <w:szCs w:val="24"/>
        </w:rPr>
        <w:t>You will need to rate your school on all criteria contained within the other tabs connected to PE, school sport and physical activity, listing and submitting any relevant additional and supporting information</w:t>
      </w:r>
    </w:p>
    <w:p w14:paraId="3BAA383F" w14:textId="77777777" w:rsidR="008F6C9D" w:rsidRDefault="00BE4CBF">
      <w:pPr>
        <w:spacing w:before="90" w:after="90" w:line="240" w:lineRule="auto"/>
        <w:ind w:left="375"/>
        <w:rPr>
          <w:color w:val="1C1E21"/>
          <w:sz w:val="24"/>
          <w:szCs w:val="24"/>
        </w:rPr>
      </w:pPr>
      <w:r>
        <w:rPr>
          <w:color w:val="1C1E21"/>
          <w:sz w:val="24"/>
          <w:szCs w:val="24"/>
        </w:rPr>
        <w:t xml:space="preserve">For each of the criteria, please rate your school based on data at this current time, using the dropdown box – either </w:t>
      </w:r>
      <w:r w:rsidR="00A028F2">
        <w:rPr>
          <w:color w:val="1C1E21"/>
          <w:sz w:val="24"/>
          <w:szCs w:val="24"/>
        </w:rPr>
        <w:t xml:space="preserve">0, </w:t>
      </w:r>
      <w:r>
        <w:rPr>
          <w:color w:val="1C1E21"/>
          <w:sz w:val="24"/>
          <w:szCs w:val="24"/>
        </w:rPr>
        <w:t xml:space="preserve">1, 2, 3. If the school is unable to meet any of the criteria or the question is not applicable for the school, then please choose </w:t>
      </w:r>
      <w:r w:rsidR="00A028F2">
        <w:rPr>
          <w:color w:val="1C1E21"/>
          <w:sz w:val="24"/>
          <w:szCs w:val="24"/>
        </w:rPr>
        <w:t xml:space="preserve">either ‘0’ or </w:t>
      </w:r>
      <w:r>
        <w:rPr>
          <w:color w:val="1C1E21"/>
          <w:sz w:val="24"/>
          <w:szCs w:val="24"/>
        </w:rPr>
        <w:t>N/A and indicate briefly in the box (‘Additional and supporting information’).</w:t>
      </w:r>
    </w:p>
    <w:p w14:paraId="0C3C9551" w14:textId="77777777" w:rsidR="008F6C9D" w:rsidRDefault="008F6C9D">
      <w:pPr>
        <w:spacing w:before="90" w:after="90" w:line="240" w:lineRule="auto"/>
        <w:ind w:left="375"/>
        <w:rPr>
          <w:color w:val="1C1E21"/>
          <w:sz w:val="24"/>
          <w:szCs w:val="24"/>
        </w:rPr>
      </w:pPr>
    </w:p>
    <w:p w14:paraId="0B390265" w14:textId="77777777" w:rsidR="00B9106E" w:rsidRPr="00B9106E" w:rsidRDefault="00B9106E">
      <w:pPr>
        <w:spacing w:before="90" w:after="90" w:line="240" w:lineRule="auto"/>
        <w:ind w:left="375"/>
        <w:rPr>
          <w:b/>
          <w:i/>
          <w:color w:val="1C1E21"/>
          <w:sz w:val="24"/>
          <w:szCs w:val="24"/>
        </w:rPr>
      </w:pPr>
      <w:r w:rsidRPr="00B9106E">
        <w:rPr>
          <w:b/>
          <w:i/>
          <w:color w:val="1C1E21"/>
          <w:sz w:val="24"/>
          <w:szCs w:val="24"/>
        </w:rPr>
        <w:t>Additional and supporting Information</w:t>
      </w:r>
    </w:p>
    <w:p w14:paraId="71DB21CA" w14:textId="77777777" w:rsidR="00D833C8" w:rsidRDefault="00BE4CBF" w:rsidP="000A36E1">
      <w:pPr>
        <w:pBdr>
          <w:top w:val="nil"/>
          <w:left w:val="nil"/>
          <w:bottom w:val="nil"/>
          <w:right w:val="nil"/>
          <w:between w:val="nil"/>
        </w:pBdr>
        <w:spacing w:after="120" w:line="240" w:lineRule="auto"/>
        <w:ind w:left="375"/>
        <w:rPr>
          <w:sz w:val="24"/>
          <w:szCs w:val="24"/>
        </w:rPr>
      </w:pPr>
      <w:r w:rsidRPr="00D833C8">
        <w:rPr>
          <w:sz w:val="24"/>
          <w:szCs w:val="24"/>
        </w:rPr>
        <w:t>Please list any additional links in the box titled ‘Additional and supporting information’</w:t>
      </w:r>
      <w:r w:rsidR="00D833C8">
        <w:rPr>
          <w:sz w:val="24"/>
          <w:szCs w:val="24"/>
        </w:rPr>
        <w:t>.</w:t>
      </w:r>
    </w:p>
    <w:p w14:paraId="7B6FA4EF" w14:textId="40149D16" w:rsidR="00814332" w:rsidRPr="000A36E1" w:rsidRDefault="00814332" w:rsidP="000A36E1">
      <w:pPr>
        <w:pBdr>
          <w:top w:val="nil"/>
          <w:left w:val="nil"/>
          <w:bottom w:val="nil"/>
          <w:right w:val="nil"/>
          <w:between w:val="nil"/>
        </w:pBdr>
        <w:spacing w:after="120" w:line="240" w:lineRule="auto"/>
        <w:ind w:left="375"/>
      </w:pPr>
      <w:r w:rsidRPr="00814332">
        <w:rPr>
          <w:color w:val="1C1E21"/>
          <w:sz w:val="24"/>
          <w:szCs w:val="24"/>
        </w:rPr>
        <w:t>E</w:t>
      </w:r>
      <w:r w:rsidR="00BE4CBF" w:rsidRPr="00814332">
        <w:rPr>
          <w:color w:val="000000"/>
          <w:sz w:val="24"/>
          <w:szCs w:val="24"/>
        </w:rPr>
        <w:t>xamples of evidence to support the self-assess</w:t>
      </w:r>
      <w:r w:rsidRPr="00814332">
        <w:rPr>
          <w:color w:val="000000"/>
          <w:sz w:val="24"/>
          <w:szCs w:val="24"/>
        </w:rPr>
        <w:t>ment could include behaviour records, examination results, external funding records e.g. Pupil Premium, PE and Sport</w:t>
      </w:r>
      <w:r w:rsidR="00D833C8">
        <w:rPr>
          <w:color w:val="000000"/>
          <w:sz w:val="24"/>
          <w:szCs w:val="24"/>
        </w:rPr>
        <w:t xml:space="preserve"> </w:t>
      </w:r>
      <w:r w:rsidRPr="00814332">
        <w:rPr>
          <w:color w:val="000000"/>
          <w:sz w:val="24"/>
          <w:szCs w:val="24"/>
        </w:rPr>
        <w:t>Premium</w:t>
      </w:r>
      <w:r w:rsidR="00D833C8">
        <w:rPr>
          <w:color w:val="000000"/>
          <w:sz w:val="24"/>
          <w:szCs w:val="24"/>
        </w:rPr>
        <w:t xml:space="preserve">, </w:t>
      </w:r>
      <w:r w:rsidRPr="00814332">
        <w:rPr>
          <w:color w:val="000000"/>
          <w:sz w:val="24"/>
          <w:szCs w:val="24"/>
        </w:rPr>
        <w:t>marketing material, m</w:t>
      </w:r>
      <w:r w:rsidR="00370156">
        <w:rPr>
          <w:color w:val="000000"/>
          <w:sz w:val="24"/>
          <w:szCs w:val="24"/>
        </w:rPr>
        <w:t xml:space="preserve">eeting notes – </w:t>
      </w:r>
      <w:r w:rsidR="00A028F2">
        <w:rPr>
          <w:color w:val="000000"/>
          <w:sz w:val="24"/>
          <w:szCs w:val="24"/>
        </w:rPr>
        <w:t xml:space="preserve">(Governors, school, </w:t>
      </w:r>
      <w:r w:rsidR="00D833C8">
        <w:rPr>
          <w:color w:val="000000"/>
          <w:sz w:val="24"/>
          <w:szCs w:val="24"/>
        </w:rPr>
        <w:t>d</w:t>
      </w:r>
      <w:r w:rsidRPr="00814332">
        <w:rPr>
          <w:color w:val="000000"/>
          <w:sz w:val="24"/>
          <w:szCs w:val="24"/>
        </w:rPr>
        <w:t>epartment</w:t>
      </w:r>
      <w:r w:rsidR="00A028F2">
        <w:rPr>
          <w:color w:val="000000"/>
          <w:sz w:val="24"/>
          <w:szCs w:val="24"/>
        </w:rPr>
        <w:t>)</w:t>
      </w:r>
      <w:r w:rsidRPr="00814332">
        <w:rPr>
          <w:color w:val="000000"/>
          <w:sz w:val="24"/>
          <w:szCs w:val="24"/>
        </w:rPr>
        <w:t>,</w:t>
      </w:r>
      <w:r w:rsidR="00D833C8">
        <w:rPr>
          <w:color w:val="000000"/>
          <w:sz w:val="24"/>
          <w:szCs w:val="24"/>
        </w:rPr>
        <w:t xml:space="preserve"> </w:t>
      </w:r>
      <w:r w:rsidRPr="00814332">
        <w:rPr>
          <w:color w:val="000000"/>
          <w:sz w:val="24"/>
          <w:szCs w:val="24"/>
        </w:rPr>
        <w:t xml:space="preserve">newsletters, Ofsted reports or mini-Ofsted reports or other external reviews, pupil and staff questionnaires and evaluations e.g. pupil voice, parent voice and engagement, PE subject handbook, photographic evidence, profile and communication in community e.g. </w:t>
      </w:r>
      <w:r w:rsidRPr="00814332">
        <w:rPr>
          <w:color w:val="000000"/>
          <w:sz w:val="24"/>
          <w:szCs w:val="24"/>
        </w:rPr>
        <w:lastRenderedPageBreak/>
        <w:t xml:space="preserve">newspaper coverage, registers of participants, school development plans, school </w:t>
      </w:r>
      <w:r w:rsidR="00D833C8">
        <w:rPr>
          <w:color w:val="000000"/>
          <w:sz w:val="24"/>
          <w:szCs w:val="24"/>
        </w:rPr>
        <w:t>p</w:t>
      </w:r>
      <w:r w:rsidRPr="00814332">
        <w:rPr>
          <w:color w:val="000000"/>
          <w:sz w:val="24"/>
          <w:szCs w:val="24"/>
        </w:rPr>
        <w:t>erformance data, school website, subject vision, development plans, curriculum</w:t>
      </w:r>
      <w:r w:rsidR="00D833C8">
        <w:rPr>
          <w:color w:val="000000"/>
          <w:sz w:val="24"/>
          <w:szCs w:val="24"/>
        </w:rPr>
        <w:t xml:space="preserve"> design, </w:t>
      </w:r>
      <w:r w:rsidRPr="00814332">
        <w:rPr>
          <w:color w:val="000000"/>
          <w:sz w:val="24"/>
          <w:szCs w:val="24"/>
        </w:rPr>
        <w:t>schemes of work, social media,</w:t>
      </w:r>
      <w:r>
        <w:rPr>
          <w:color w:val="000000"/>
          <w:sz w:val="24"/>
          <w:szCs w:val="24"/>
        </w:rPr>
        <w:t xml:space="preserve"> s</w:t>
      </w:r>
      <w:r w:rsidRPr="00814332">
        <w:rPr>
          <w:color w:val="000000"/>
          <w:sz w:val="24"/>
          <w:szCs w:val="24"/>
        </w:rPr>
        <w:t>taff CPD calendar</w:t>
      </w:r>
      <w:r w:rsidR="00D833C8">
        <w:rPr>
          <w:color w:val="000000"/>
          <w:sz w:val="24"/>
          <w:szCs w:val="24"/>
        </w:rPr>
        <w:t>.</w:t>
      </w:r>
    </w:p>
    <w:p w14:paraId="05176781" w14:textId="77777777" w:rsidR="008F6C9D" w:rsidRDefault="00BE4CBF" w:rsidP="00B9106E">
      <w:pPr>
        <w:spacing w:after="0" w:line="240" w:lineRule="auto"/>
        <w:ind w:left="375"/>
        <w:rPr>
          <w:color w:val="000000"/>
          <w:sz w:val="24"/>
          <w:szCs w:val="24"/>
        </w:rPr>
      </w:pPr>
      <w:r>
        <w:rPr>
          <w:color w:val="000000"/>
          <w:sz w:val="24"/>
          <w:szCs w:val="24"/>
        </w:rPr>
        <w:t xml:space="preserve">Evidence should include the most recent data and take into account 12 months of </w:t>
      </w:r>
    </w:p>
    <w:p w14:paraId="5515B0C3" w14:textId="5BC614CF" w:rsidR="00316DA4" w:rsidRDefault="00BE4CBF" w:rsidP="00F22695">
      <w:pPr>
        <w:spacing w:after="0" w:line="240" w:lineRule="auto"/>
        <w:ind w:left="375"/>
        <w:rPr>
          <w:color w:val="000000"/>
          <w:sz w:val="24"/>
          <w:szCs w:val="24"/>
        </w:rPr>
      </w:pPr>
      <w:r>
        <w:rPr>
          <w:color w:val="000000"/>
          <w:sz w:val="24"/>
          <w:szCs w:val="24"/>
        </w:rPr>
        <w:t>historical data and information. This is not an exclusive list, so please add any additional evidence with each question which you feel is relevant.</w:t>
      </w:r>
    </w:p>
    <w:p w14:paraId="2219FB6F" w14:textId="77777777" w:rsidR="00B9106E" w:rsidRDefault="00B9106E" w:rsidP="00B9106E">
      <w:pPr>
        <w:spacing w:after="0" w:line="240" w:lineRule="auto"/>
        <w:ind w:left="375"/>
        <w:rPr>
          <w:color w:val="000000"/>
          <w:sz w:val="24"/>
          <w:szCs w:val="24"/>
        </w:rPr>
      </w:pPr>
    </w:p>
    <w:p w14:paraId="59CF992E" w14:textId="77777777" w:rsidR="008F6C9D" w:rsidRPr="00B9106E" w:rsidRDefault="00B9106E">
      <w:pPr>
        <w:spacing w:before="90" w:after="90" w:line="240" w:lineRule="auto"/>
        <w:ind w:left="375"/>
        <w:rPr>
          <w:b/>
          <w:i/>
          <w:color w:val="1C1E21"/>
          <w:sz w:val="24"/>
          <w:szCs w:val="24"/>
        </w:rPr>
      </w:pPr>
      <w:bookmarkStart w:id="0" w:name="_Hlk53064272"/>
      <w:r w:rsidRPr="00B9106E">
        <w:rPr>
          <w:b/>
          <w:i/>
          <w:color w:val="1C1E21"/>
          <w:sz w:val="24"/>
          <w:szCs w:val="24"/>
        </w:rPr>
        <w:t>The completed document and next steps</w:t>
      </w:r>
    </w:p>
    <w:p w14:paraId="202615C0" w14:textId="77777777" w:rsidR="0016764B" w:rsidRDefault="00BE4CBF" w:rsidP="0016764B">
      <w:pPr>
        <w:spacing w:before="90" w:after="90" w:line="240" w:lineRule="auto"/>
        <w:ind w:left="375"/>
        <w:rPr>
          <w:rStyle w:val="cf01"/>
        </w:rPr>
      </w:pPr>
      <w:r>
        <w:rPr>
          <w:color w:val="1C1E21"/>
          <w:sz w:val="24"/>
          <w:szCs w:val="24"/>
        </w:rPr>
        <w:t xml:space="preserve">The completed document should then be submitted to </w:t>
      </w:r>
      <w:hyperlink r:id="rId10">
        <w:r>
          <w:rPr>
            <w:color w:val="0563C1"/>
            <w:sz w:val="24"/>
            <w:szCs w:val="24"/>
            <w:u w:val="single"/>
          </w:rPr>
          <w:t>schools@sportbirmingham.org</w:t>
        </w:r>
      </w:hyperlink>
      <w:r w:rsidR="00B9106E">
        <w:rPr>
          <w:color w:val="1C1E21"/>
          <w:sz w:val="24"/>
          <w:szCs w:val="24"/>
        </w:rPr>
        <w:t xml:space="preserve">. </w:t>
      </w:r>
    </w:p>
    <w:p w14:paraId="490732C2" w14:textId="4CCD0A2F" w:rsidR="008F6C9D" w:rsidRPr="0016764B" w:rsidRDefault="0016764B" w:rsidP="0016764B">
      <w:pPr>
        <w:spacing w:before="90" w:after="90" w:line="240" w:lineRule="auto"/>
        <w:ind w:left="375"/>
        <w:rPr>
          <w:rFonts w:asciiTheme="majorHAnsi" w:hAnsiTheme="majorHAnsi" w:cstheme="majorHAnsi"/>
          <w:color w:val="1C1E21"/>
          <w:sz w:val="24"/>
          <w:szCs w:val="24"/>
        </w:rPr>
      </w:pPr>
      <w:r w:rsidRPr="0016764B">
        <w:rPr>
          <w:rStyle w:val="cf01"/>
          <w:rFonts w:asciiTheme="majorHAnsi" w:hAnsiTheme="majorHAnsi" w:cstheme="majorHAnsi"/>
          <w:sz w:val="24"/>
          <w:szCs w:val="24"/>
        </w:rPr>
        <w:t xml:space="preserve">A zoom meeting will then be set up with the school, Sport Birmingham and the local School Games Organiser. </w:t>
      </w:r>
      <w:r w:rsidR="00BE4CBF" w:rsidRPr="0016764B">
        <w:rPr>
          <w:rFonts w:asciiTheme="majorHAnsi" w:hAnsiTheme="majorHAnsi" w:cstheme="majorHAnsi"/>
          <w:color w:val="1C1E21"/>
          <w:sz w:val="24"/>
          <w:szCs w:val="24"/>
        </w:rPr>
        <w:t>The Pathway to Podium award will last for 1 year from the date of the award.</w:t>
      </w:r>
    </w:p>
    <w:bookmarkEnd w:id="0"/>
    <w:p w14:paraId="3433096E" w14:textId="77777777" w:rsidR="00316DA4" w:rsidRDefault="00316DA4">
      <w:pPr>
        <w:spacing w:before="90" w:after="90" w:line="240" w:lineRule="auto"/>
        <w:ind w:left="375"/>
        <w:rPr>
          <w:color w:val="1C1E21"/>
          <w:sz w:val="24"/>
          <w:szCs w:val="24"/>
        </w:rPr>
      </w:pPr>
    </w:p>
    <w:p w14:paraId="24FD8958" w14:textId="77777777" w:rsidR="00316DA4" w:rsidRPr="00316DA4" w:rsidRDefault="00316DA4" w:rsidP="00316DA4">
      <w:pPr>
        <w:spacing w:before="90" w:after="90" w:line="240" w:lineRule="auto"/>
        <w:ind w:left="426"/>
        <w:rPr>
          <w:b/>
          <w:i/>
          <w:color w:val="1C1E21"/>
          <w:sz w:val="24"/>
          <w:szCs w:val="24"/>
        </w:rPr>
      </w:pPr>
      <w:r w:rsidRPr="00316DA4">
        <w:rPr>
          <w:b/>
          <w:i/>
          <w:color w:val="1C1E21"/>
          <w:sz w:val="24"/>
          <w:szCs w:val="24"/>
        </w:rPr>
        <w:t>Support and Advice</w:t>
      </w:r>
    </w:p>
    <w:p w14:paraId="41F31590" w14:textId="13235CF3" w:rsidR="00F22695" w:rsidRDefault="00316DA4" w:rsidP="000A36E1">
      <w:pPr>
        <w:spacing w:before="90" w:after="90" w:line="240" w:lineRule="auto"/>
        <w:ind w:left="426"/>
        <w:rPr>
          <w:color w:val="1C1E21"/>
          <w:sz w:val="24"/>
          <w:szCs w:val="24"/>
        </w:rPr>
      </w:pPr>
      <w:r>
        <w:rPr>
          <w:color w:val="1C1E21"/>
          <w:sz w:val="24"/>
          <w:szCs w:val="24"/>
        </w:rPr>
        <w:t xml:space="preserve">If you have any questions regarding the Pathways to Podium initiative and the completion of the document then please email </w:t>
      </w:r>
      <w:hyperlink r:id="rId11">
        <w:r>
          <w:rPr>
            <w:color w:val="0563C1"/>
            <w:sz w:val="24"/>
            <w:szCs w:val="24"/>
            <w:u w:val="single"/>
          </w:rPr>
          <w:t>schools@sportbirmingham.org</w:t>
        </w:r>
      </w:hyperlink>
    </w:p>
    <w:p w14:paraId="7C731AC4" w14:textId="77777777" w:rsidR="00F22695" w:rsidRDefault="00F22695">
      <w:pPr>
        <w:spacing w:before="90" w:after="90" w:line="240" w:lineRule="auto"/>
        <w:ind w:left="426"/>
        <w:rPr>
          <w:color w:val="1C1E21"/>
          <w:sz w:val="24"/>
          <w:szCs w:val="24"/>
        </w:rPr>
      </w:pPr>
    </w:p>
    <w:p w14:paraId="4C642616" w14:textId="77777777" w:rsidR="008F6C9D" w:rsidRPr="00B9106E" w:rsidRDefault="00BE4CBF">
      <w:pPr>
        <w:spacing w:before="90" w:after="90" w:line="240" w:lineRule="auto"/>
        <w:ind w:left="426"/>
        <w:rPr>
          <w:b/>
          <w:color w:val="1C1E21"/>
          <w:sz w:val="24"/>
          <w:szCs w:val="24"/>
          <w:u w:val="single"/>
        </w:rPr>
      </w:pPr>
      <w:r w:rsidRPr="00B9106E">
        <w:rPr>
          <w:b/>
          <w:color w:val="1C1E21"/>
          <w:sz w:val="24"/>
          <w:szCs w:val="24"/>
          <w:u w:val="single"/>
        </w:rPr>
        <w:t>Action Planning Phase</w:t>
      </w:r>
    </w:p>
    <w:p w14:paraId="3915EB97" w14:textId="77777777" w:rsidR="008F6C9D" w:rsidRDefault="00BE4CBF">
      <w:pPr>
        <w:spacing w:before="90" w:after="90" w:line="240" w:lineRule="auto"/>
        <w:ind w:left="426"/>
        <w:rPr>
          <w:color w:val="1C1E21"/>
          <w:sz w:val="24"/>
          <w:szCs w:val="24"/>
        </w:rPr>
      </w:pPr>
      <w:r>
        <w:rPr>
          <w:color w:val="1C1E21"/>
          <w:sz w:val="24"/>
          <w:szCs w:val="24"/>
        </w:rPr>
        <w:t>All schools should use the initiative to develop an action plan that enhances their school offer in PESSPA and improves the outcomes for young people. This action plan will be developed based on the results of the self-assessment. This will help to outline areas for development and priorities that the school can work towards over the coming year. Schools will be encouraged to re-assess on an annual basis to evidence improvements and further developments.</w:t>
      </w:r>
    </w:p>
    <w:p w14:paraId="18FBD248" w14:textId="77777777" w:rsidR="00814332" w:rsidRDefault="00814332">
      <w:pPr>
        <w:spacing w:before="90" w:after="90" w:line="240" w:lineRule="auto"/>
        <w:ind w:left="426"/>
        <w:rPr>
          <w:rFonts w:ascii="Times New Roman" w:eastAsia="Times New Roman" w:hAnsi="Times New Roman" w:cs="Times New Roman"/>
        </w:rPr>
      </w:pPr>
    </w:p>
    <w:p w14:paraId="0FBEC024" w14:textId="77777777" w:rsidR="008F6C9D" w:rsidRDefault="00BE4CBF">
      <w:pPr>
        <w:spacing w:before="90" w:after="90" w:line="240" w:lineRule="auto"/>
        <w:ind w:left="426"/>
        <w:rPr>
          <w:color w:val="1C1E21"/>
          <w:sz w:val="24"/>
          <w:szCs w:val="24"/>
        </w:rPr>
      </w:pPr>
      <w:r>
        <w:rPr>
          <w:color w:val="1C1E21"/>
          <w:sz w:val="24"/>
          <w:szCs w:val="24"/>
        </w:rPr>
        <w:t xml:space="preserve">Support mechanisms will be in place by local and national partners to assist you with the self-assessment and action planning phases. This will be led by Sport Birmingham in partnership with local School Sport Partnerships, local partners (e.g. Birmingham City Council, Modeshift Stars) and national partners (e.g. </w:t>
      </w:r>
      <w:r w:rsidR="00814332">
        <w:rPr>
          <w:color w:val="1C1E21"/>
          <w:sz w:val="24"/>
          <w:szCs w:val="24"/>
        </w:rPr>
        <w:t>the Association for Physical Education (afPE) and Youth Sport Trust (YST)</w:t>
      </w:r>
      <w:r>
        <w:rPr>
          <w:color w:val="1C1E21"/>
          <w:sz w:val="24"/>
          <w:szCs w:val="24"/>
        </w:rPr>
        <w:t>).</w:t>
      </w:r>
    </w:p>
    <w:p w14:paraId="62A877A1" w14:textId="77777777" w:rsidR="000A36E1" w:rsidRDefault="000A36E1">
      <w:pPr>
        <w:spacing w:after="0" w:line="240" w:lineRule="auto"/>
        <w:rPr>
          <w:rFonts w:ascii="Times New Roman" w:eastAsia="Times New Roman" w:hAnsi="Times New Roman" w:cs="Times New Roman"/>
        </w:rPr>
      </w:pPr>
    </w:p>
    <w:p w14:paraId="09945D7E" w14:textId="77777777" w:rsidR="008F6C9D" w:rsidRDefault="00BE4CBF">
      <w:pPr>
        <w:numPr>
          <w:ilvl w:val="1"/>
          <w:numId w:val="3"/>
        </w:numPr>
        <w:pBdr>
          <w:top w:val="nil"/>
          <w:left w:val="nil"/>
          <w:bottom w:val="nil"/>
          <w:right w:val="nil"/>
          <w:between w:val="nil"/>
        </w:pBdr>
        <w:spacing w:before="90" w:after="90" w:line="240" w:lineRule="auto"/>
        <w:ind w:left="1134" w:hanging="708"/>
        <w:rPr>
          <w:b/>
          <w:color w:val="1C1E21"/>
          <w:sz w:val="24"/>
          <w:szCs w:val="24"/>
        </w:rPr>
      </w:pPr>
      <w:r>
        <w:rPr>
          <w:b/>
          <w:color w:val="1C1E21"/>
          <w:sz w:val="24"/>
          <w:szCs w:val="24"/>
        </w:rPr>
        <w:t xml:space="preserve"> Benefits for schools</w:t>
      </w:r>
    </w:p>
    <w:p w14:paraId="1BD3570F" w14:textId="77777777" w:rsidR="008F6C9D" w:rsidRDefault="00BE4CBF">
      <w:pPr>
        <w:spacing w:before="90" w:after="90" w:line="240" w:lineRule="auto"/>
        <w:ind w:left="375"/>
        <w:rPr>
          <w:rFonts w:ascii="Times New Roman" w:eastAsia="Times New Roman" w:hAnsi="Times New Roman" w:cs="Times New Roman"/>
        </w:rPr>
      </w:pPr>
      <w:r>
        <w:rPr>
          <w:color w:val="1C1E21"/>
          <w:sz w:val="24"/>
          <w:szCs w:val="24"/>
        </w:rPr>
        <w:t>The benefits for schools remain under development, with additional benefits to be added when confirmed.</w:t>
      </w:r>
    </w:p>
    <w:p w14:paraId="15BF9B57" w14:textId="77777777" w:rsidR="008F6C9D" w:rsidRDefault="00BE4CBF">
      <w:pPr>
        <w:spacing w:before="90" w:after="90" w:line="240" w:lineRule="auto"/>
        <w:ind w:left="375"/>
        <w:rPr>
          <w:rFonts w:ascii="Times New Roman" w:eastAsia="Times New Roman" w:hAnsi="Times New Roman" w:cs="Times New Roman"/>
        </w:rPr>
      </w:pPr>
      <w:r>
        <w:rPr>
          <w:color w:val="1C1E21"/>
          <w:sz w:val="24"/>
          <w:szCs w:val="24"/>
        </w:rPr>
        <w:t>All applicants will receive:</w:t>
      </w:r>
    </w:p>
    <w:p w14:paraId="72B7179E" w14:textId="77777777" w:rsidR="008F6C9D" w:rsidRDefault="00BE4CBF">
      <w:pPr>
        <w:numPr>
          <w:ilvl w:val="0"/>
          <w:numId w:val="1"/>
        </w:numPr>
        <w:spacing w:before="90" w:after="90" w:line="240" w:lineRule="auto"/>
        <w:rPr>
          <w:color w:val="1C1E21"/>
          <w:sz w:val="24"/>
          <w:szCs w:val="24"/>
        </w:rPr>
      </w:pPr>
      <w:r>
        <w:rPr>
          <w:color w:val="1C1E21"/>
          <w:sz w:val="24"/>
          <w:szCs w:val="24"/>
        </w:rPr>
        <w:t>Termly newsletter: outlining key Government, regional and local updates and opportunities</w:t>
      </w:r>
    </w:p>
    <w:p w14:paraId="7511FF62" w14:textId="77777777" w:rsidR="008F6C9D" w:rsidRDefault="00BE4CBF">
      <w:pPr>
        <w:numPr>
          <w:ilvl w:val="0"/>
          <w:numId w:val="1"/>
        </w:numPr>
        <w:spacing w:before="90" w:after="90" w:line="240" w:lineRule="auto"/>
        <w:rPr>
          <w:color w:val="1C1E21"/>
          <w:sz w:val="24"/>
          <w:szCs w:val="24"/>
        </w:rPr>
      </w:pPr>
      <w:r>
        <w:rPr>
          <w:color w:val="1C1E21"/>
          <w:sz w:val="24"/>
          <w:szCs w:val="24"/>
        </w:rPr>
        <w:t>Package of professional learning opportunities: including training programmes and/or events for teachers, sports coaches and Governors</w:t>
      </w:r>
    </w:p>
    <w:p w14:paraId="4E7F3D86" w14:textId="77777777" w:rsidR="008F6C9D" w:rsidRDefault="00BE4CBF">
      <w:pPr>
        <w:numPr>
          <w:ilvl w:val="0"/>
          <w:numId w:val="1"/>
        </w:numPr>
        <w:spacing w:before="90" w:after="90" w:line="240" w:lineRule="auto"/>
        <w:rPr>
          <w:color w:val="1C1E21"/>
          <w:sz w:val="24"/>
          <w:szCs w:val="24"/>
        </w:rPr>
      </w:pPr>
      <w:r>
        <w:rPr>
          <w:color w:val="1C1E21"/>
          <w:sz w:val="24"/>
          <w:szCs w:val="24"/>
        </w:rPr>
        <w:t>Acknowledgement of the school’s involvement and award achieved</w:t>
      </w:r>
    </w:p>
    <w:p w14:paraId="6F860D89" w14:textId="77777777" w:rsidR="00B9106E" w:rsidRDefault="00B9106E" w:rsidP="00B9106E">
      <w:pPr>
        <w:spacing w:before="90" w:after="90" w:line="240" w:lineRule="auto"/>
        <w:rPr>
          <w:color w:val="1C1E21"/>
          <w:sz w:val="24"/>
          <w:szCs w:val="24"/>
        </w:rPr>
      </w:pPr>
    </w:p>
    <w:p w14:paraId="04C239EF" w14:textId="77777777" w:rsidR="00B9106E" w:rsidRDefault="00B9106E" w:rsidP="00B9106E">
      <w:pPr>
        <w:numPr>
          <w:ilvl w:val="1"/>
          <w:numId w:val="3"/>
        </w:numPr>
        <w:pBdr>
          <w:top w:val="nil"/>
          <w:left w:val="nil"/>
          <w:bottom w:val="nil"/>
          <w:right w:val="nil"/>
          <w:between w:val="nil"/>
        </w:pBdr>
        <w:spacing w:before="90" w:after="90" w:line="240" w:lineRule="auto"/>
        <w:ind w:left="709"/>
        <w:rPr>
          <w:b/>
          <w:color w:val="1C1E21"/>
          <w:sz w:val="24"/>
          <w:szCs w:val="24"/>
        </w:rPr>
      </w:pPr>
      <w:r>
        <w:rPr>
          <w:b/>
          <w:color w:val="1C1E21"/>
          <w:sz w:val="24"/>
          <w:szCs w:val="24"/>
        </w:rPr>
        <w:t xml:space="preserve">       Links to additional support materials and partner links (outlined in </w:t>
      </w:r>
      <w:r>
        <w:rPr>
          <w:b/>
          <w:color w:val="000000"/>
          <w:sz w:val="24"/>
          <w:szCs w:val="24"/>
        </w:rPr>
        <w:t>Appendix 1)</w:t>
      </w:r>
    </w:p>
    <w:p w14:paraId="2A35454A" w14:textId="77777777" w:rsidR="00B9106E" w:rsidRDefault="00B9106E" w:rsidP="00B9106E">
      <w:pPr>
        <w:spacing w:before="90" w:after="90" w:line="240" w:lineRule="auto"/>
        <w:ind w:left="375"/>
        <w:rPr>
          <w:rFonts w:ascii="Times New Roman" w:eastAsia="Times New Roman" w:hAnsi="Times New Roman" w:cs="Times New Roman"/>
        </w:rPr>
      </w:pPr>
      <w:r>
        <w:rPr>
          <w:color w:val="1C1E21"/>
          <w:sz w:val="24"/>
          <w:szCs w:val="24"/>
        </w:rPr>
        <w:t xml:space="preserve">For each of the individual criteria, Appendix </w:t>
      </w:r>
      <w:r>
        <w:rPr>
          <w:color w:val="000000"/>
          <w:sz w:val="24"/>
          <w:szCs w:val="24"/>
        </w:rPr>
        <w:t>1</w:t>
      </w:r>
      <w:r>
        <w:rPr>
          <w:color w:val="FF00FF"/>
          <w:sz w:val="24"/>
          <w:szCs w:val="24"/>
        </w:rPr>
        <w:t xml:space="preserve"> </w:t>
      </w:r>
      <w:r>
        <w:rPr>
          <w:color w:val="1C1E21"/>
          <w:sz w:val="24"/>
          <w:szCs w:val="24"/>
        </w:rPr>
        <w:t>outlines a list of relevant links, which may be beneficial to support your school with both the self-assessment and action planning phases.</w:t>
      </w:r>
    </w:p>
    <w:p w14:paraId="58AFFBF4" w14:textId="77777777" w:rsidR="00B9106E" w:rsidRDefault="00B9106E" w:rsidP="00B9106E">
      <w:pPr>
        <w:spacing w:before="90" w:after="90" w:line="240" w:lineRule="auto"/>
        <w:rPr>
          <w:color w:val="1C1E21"/>
          <w:sz w:val="24"/>
          <w:szCs w:val="24"/>
        </w:rPr>
      </w:pPr>
    </w:p>
    <w:p w14:paraId="726191D6" w14:textId="77777777" w:rsidR="008F6C9D" w:rsidRDefault="00B9106E">
      <w:pPr>
        <w:spacing w:before="90" w:after="90" w:line="240" w:lineRule="auto"/>
        <w:ind w:left="375"/>
        <w:rPr>
          <w:rFonts w:ascii="Times New Roman" w:eastAsia="Times New Roman" w:hAnsi="Times New Roman" w:cs="Times New Roman"/>
        </w:rPr>
      </w:pPr>
      <w:r>
        <w:rPr>
          <w:b/>
          <w:color w:val="000000"/>
          <w:sz w:val="24"/>
          <w:szCs w:val="24"/>
        </w:rPr>
        <w:t>Appendix 1</w:t>
      </w:r>
      <w:r w:rsidR="00BE4CBF">
        <w:rPr>
          <w:b/>
          <w:color w:val="000000"/>
          <w:sz w:val="24"/>
          <w:szCs w:val="24"/>
        </w:rPr>
        <w:t>: Supporting links and documentation</w:t>
      </w:r>
    </w:p>
    <w:p w14:paraId="2424A28C" w14:textId="77777777" w:rsidR="008F6C9D" w:rsidRDefault="008F6C9D">
      <w:pPr>
        <w:spacing w:after="240" w:line="240" w:lineRule="auto"/>
        <w:rPr>
          <w:rFonts w:ascii="Times New Roman" w:eastAsia="Times New Roman" w:hAnsi="Times New Roman" w:cs="Times New Roman"/>
          <w:sz w:val="24"/>
          <w:szCs w:val="24"/>
        </w:rPr>
      </w:pPr>
    </w:p>
    <w:p w14:paraId="654E9FA6" w14:textId="77777777" w:rsidR="00F22695" w:rsidRDefault="00F22695">
      <w:pPr>
        <w:spacing w:before="90" w:after="90" w:line="240" w:lineRule="auto"/>
        <w:rPr>
          <w:b/>
          <w:color w:val="000000"/>
          <w:sz w:val="28"/>
          <w:szCs w:val="28"/>
        </w:rPr>
      </w:pPr>
    </w:p>
    <w:p w14:paraId="4B4F65C8" w14:textId="77777777" w:rsidR="00F22695" w:rsidRDefault="00F22695">
      <w:pPr>
        <w:spacing w:before="90" w:after="90" w:line="240" w:lineRule="auto"/>
        <w:rPr>
          <w:b/>
          <w:color w:val="000000"/>
          <w:sz w:val="28"/>
          <w:szCs w:val="28"/>
        </w:rPr>
      </w:pPr>
    </w:p>
    <w:p w14:paraId="6F84E803" w14:textId="74025851" w:rsidR="00F22695" w:rsidRDefault="00F22695">
      <w:pPr>
        <w:spacing w:before="90" w:after="90" w:line="240" w:lineRule="auto"/>
        <w:rPr>
          <w:b/>
          <w:color w:val="000000"/>
          <w:sz w:val="28"/>
          <w:szCs w:val="28"/>
        </w:rPr>
      </w:pPr>
    </w:p>
    <w:p w14:paraId="19030CCC" w14:textId="250E9AD8" w:rsidR="000A36E1" w:rsidRDefault="000A36E1">
      <w:pPr>
        <w:spacing w:before="90" w:after="90" w:line="240" w:lineRule="auto"/>
        <w:rPr>
          <w:b/>
          <w:color w:val="000000"/>
          <w:sz w:val="28"/>
          <w:szCs w:val="28"/>
        </w:rPr>
      </w:pPr>
    </w:p>
    <w:p w14:paraId="3C5714CE" w14:textId="73C5EF7C" w:rsidR="000A36E1" w:rsidRDefault="000A36E1">
      <w:pPr>
        <w:spacing w:before="90" w:after="90" w:line="240" w:lineRule="auto"/>
        <w:rPr>
          <w:b/>
          <w:color w:val="000000"/>
          <w:sz w:val="28"/>
          <w:szCs w:val="28"/>
        </w:rPr>
      </w:pPr>
    </w:p>
    <w:p w14:paraId="0B816149" w14:textId="7D7DDD18" w:rsidR="000A36E1" w:rsidRDefault="000A36E1">
      <w:pPr>
        <w:spacing w:before="90" w:after="90" w:line="240" w:lineRule="auto"/>
        <w:rPr>
          <w:b/>
          <w:color w:val="000000"/>
          <w:sz w:val="28"/>
          <w:szCs w:val="28"/>
        </w:rPr>
      </w:pPr>
    </w:p>
    <w:p w14:paraId="6097EF08" w14:textId="3FB9F5ED" w:rsidR="000A36E1" w:rsidRDefault="000A36E1">
      <w:pPr>
        <w:spacing w:before="90" w:after="90" w:line="240" w:lineRule="auto"/>
        <w:rPr>
          <w:b/>
          <w:color w:val="000000"/>
          <w:sz w:val="28"/>
          <w:szCs w:val="28"/>
        </w:rPr>
      </w:pPr>
    </w:p>
    <w:p w14:paraId="6CB09523" w14:textId="254FC5C9" w:rsidR="008F6C9D" w:rsidRDefault="008F6C9D">
      <w:pPr>
        <w:shd w:val="clear" w:color="auto" w:fill="FFFFFF"/>
        <w:spacing w:after="225" w:line="240" w:lineRule="auto"/>
        <w:rPr>
          <w:b/>
          <w:color w:val="0070C0"/>
          <w:sz w:val="24"/>
          <w:szCs w:val="24"/>
        </w:rPr>
      </w:pPr>
    </w:p>
    <w:sectPr w:rsidR="008F6C9D">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85EA" w14:textId="77777777" w:rsidR="000C2B68" w:rsidRDefault="000C2B68">
      <w:pPr>
        <w:spacing w:after="0" w:line="240" w:lineRule="auto"/>
      </w:pPr>
      <w:r>
        <w:separator/>
      </w:r>
    </w:p>
  </w:endnote>
  <w:endnote w:type="continuationSeparator" w:id="0">
    <w:p w14:paraId="62EF7F09" w14:textId="77777777" w:rsidR="000C2B68" w:rsidRDefault="000C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FE4A" w14:textId="77777777" w:rsidR="000C2B68" w:rsidRDefault="000C2B68">
      <w:pPr>
        <w:spacing w:after="0" w:line="240" w:lineRule="auto"/>
      </w:pPr>
      <w:r>
        <w:separator/>
      </w:r>
    </w:p>
  </w:footnote>
  <w:footnote w:type="continuationSeparator" w:id="0">
    <w:p w14:paraId="187F3569" w14:textId="77777777" w:rsidR="000C2B68" w:rsidRDefault="000C2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553E" w14:textId="65C198E3" w:rsidR="008F6C9D" w:rsidRPr="007F03C8" w:rsidRDefault="000A36E1" w:rsidP="007F03C8">
    <w:pPr>
      <w:pBdr>
        <w:top w:val="nil"/>
        <w:left w:val="nil"/>
        <w:bottom w:val="nil"/>
        <w:right w:val="nil"/>
        <w:between w:val="nil"/>
      </w:pBdr>
      <w:tabs>
        <w:tab w:val="center" w:pos="4513"/>
        <w:tab w:val="right" w:pos="9026"/>
      </w:tabs>
      <w:spacing w:after="0" w:line="240" w:lineRule="auto"/>
      <w:jc w:val="both"/>
      <w:rPr>
        <w:noProof/>
      </w:rPr>
    </w:pPr>
    <w:r>
      <w:rPr>
        <w:noProof/>
        <w:color w:val="000000"/>
      </w:rPr>
      <w:t xml:space="preserve">         </w:t>
    </w:r>
    <w:r w:rsidR="007F03C8">
      <w:rPr>
        <w:noProof/>
      </w:rPr>
      <w:t xml:space="preserve">        </w:t>
    </w:r>
    <w:r w:rsidR="007F03C8">
      <w:rPr>
        <w:noProof/>
      </w:rPr>
      <w:drawing>
        <wp:inline distT="0" distB="0" distL="0" distR="0" wp14:anchorId="7DCB169D" wp14:editId="758D9E1B">
          <wp:extent cx="2297108" cy="777240"/>
          <wp:effectExtent l="0" t="0" r="8255" b="3810"/>
          <wp:docPr id="161574275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742750" name="Picture 1" descr="A close-up of a logo&#10;&#10;Description automatically generated"/>
                  <pic:cNvPicPr/>
                </pic:nvPicPr>
                <pic:blipFill>
                  <a:blip r:embed="rId1"/>
                  <a:stretch>
                    <a:fillRect/>
                  </a:stretch>
                </pic:blipFill>
                <pic:spPr>
                  <a:xfrm>
                    <a:off x="0" y="0"/>
                    <a:ext cx="2304458" cy="779727"/>
                  </a:xfrm>
                  <a:prstGeom prst="rect">
                    <a:avLst/>
                  </a:prstGeom>
                </pic:spPr>
              </pic:pic>
            </a:graphicData>
          </a:graphic>
        </wp:inline>
      </w:drawing>
    </w:r>
    <w:r w:rsidRPr="000A36E1">
      <w:rPr>
        <w:noProof/>
        <w:color w:val="000000"/>
      </w:rPr>
      <w:ptab w:relativeTo="margin" w:alignment="center" w:leader="none"/>
    </w:r>
    <w:r>
      <w:rPr>
        <w:noProof/>
      </w:rPr>
      <w:drawing>
        <wp:inline distT="0" distB="0" distL="0" distR="0" wp14:anchorId="36348CBF" wp14:editId="7DB813FF">
          <wp:extent cx="1996440" cy="72885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4316" cy="742687"/>
                  </a:xfrm>
                  <a:prstGeom prst="rect">
                    <a:avLst/>
                  </a:prstGeom>
                  <a:noFill/>
                  <a:ln>
                    <a:noFill/>
                  </a:ln>
                </pic:spPr>
              </pic:pic>
            </a:graphicData>
          </a:graphic>
        </wp:inline>
      </w:drawing>
    </w:r>
    <w:r w:rsidRPr="000A36E1">
      <w:rPr>
        <w:noProof/>
        <w:color w:val="00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9FA"/>
    <w:multiLevelType w:val="multilevel"/>
    <w:tmpl w:val="CCCC6D94"/>
    <w:lvl w:ilvl="0">
      <w:start w:val="2"/>
      <w:numFmt w:val="decimal"/>
      <w:lvlText w:val="%1"/>
      <w:lvlJc w:val="left"/>
      <w:pPr>
        <w:ind w:left="375" w:hanging="375"/>
      </w:pPr>
    </w:lvl>
    <w:lvl w:ilvl="1">
      <w:start w:val="1"/>
      <w:numFmt w:val="decimal"/>
      <w:lvlText w:val="%1.%2"/>
      <w:lvlJc w:val="left"/>
      <w:pPr>
        <w:ind w:left="6046"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15:restartNumberingAfterBreak="0">
    <w:nsid w:val="10177FA6"/>
    <w:multiLevelType w:val="multilevel"/>
    <w:tmpl w:val="ABD21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D534D7"/>
    <w:multiLevelType w:val="multilevel"/>
    <w:tmpl w:val="CCCC6D94"/>
    <w:lvl w:ilvl="0">
      <w:start w:val="2"/>
      <w:numFmt w:val="decimal"/>
      <w:lvlText w:val="%1"/>
      <w:lvlJc w:val="left"/>
      <w:pPr>
        <w:ind w:left="375" w:hanging="375"/>
      </w:pPr>
    </w:lvl>
    <w:lvl w:ilvl="1">
      <w:start w:val="1"/>
      <w:numFmt w:val="decimal"/>
      <w:lvlText w:val="%1.%2"/>
      <w:lvlJc w:val="left"/>
      <w:pPr>
        <w:ind w:left="6046"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 w15:restartNumberingAfterBreak="0">
    <w:nsid w:val="3C071664"/>
    <w:multiLevelType w:val="multilevel"/>
    <w:tmpl w:val="6346C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6206BE4"/>
    <w:multiLevelType w:val="multilevel"/>
    <w:tmpl w:val="BFD27FE0"/>
    <w:lvl w:ilvl="0">
      <w:start w:val="2"/>
      <w:numFmt w:val="decimal"/>
      <w:lvlText w:val="%1"/>
      <w:lvlJc w:val="left"/>
      <w:pPr>
        <w:ind w:left="375" w:hanging="375"/>
      </w:pPr>
    </w:lvl>
    <w:lvl w:ilvl="1">
      <w:start w:val="1"/>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15:restartNumberingAfterBreak="0">
    <w:nsid w:val="773B743C"/>
    <w:multiLevelType w:val="multilevel"/>
    <w:tmpl w:val="E54E6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8582259"/>
    <w:multiLevelType w:val="multilevel"/>
    <w:tmpl w:val="E12629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92B3D23"/>
    <w:multiLevelType w:val="multilevel"/>
    <w:tmpl w:val="5E3810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97380740">
    <w:abstractNumId w:val="3"/>
  </w:num>
  <w:num w:numId="2" w16cid:durableId="1399397253">
    <w:abstractNumId w:val="4"/>
  </w:num>
  <w:num w:numId="3" w16cid:durableId="1223784335">
    <w:abstractNumId w:val="2"/>
  </w:num>
  <w:num w:numId="4" w16cid:durableId="2094399719">
    <w:abstractNumId w:val="1"/>
  </w:num>
  <w:num w:numId="5" w16cid:durableId="1835105241">
    <w:abstractNumId w:val="7"/>
  </w:num>
  <w:num w:numId="6" w16cid:durableId="407508009">
    <w:abstractNumId w:val="5"/>
  </w:num>
  <w:num w:numId="7" w16cid:durableId="595672133">
    <w:abstractNumId w:val="6"/>
  </w:num>
  <w:num w:numId="8" w16cid:durableId="205253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9D"/>
    <w:rsid w:val="000A36E1"/>
    <w:rsid w:val="000C2B68"/>
    <w:rsid w:val="0016764B"/>
    <w:rsid w:val="00251CD6"/>
    <w:rsid w:val="00316DA4"/>
    <w:rsid w:val="00370156"/>
    <w:rsid w:val="004C2FBD"/>
    <w:rsid w:val="004C75DE"/>
    <w:rsid w:val="00560116"/>
    <w:rsid w:val="00633003"/>
    <w:rsid w:val="006364F9"/>
    <w:rsid w:val="007434E8"/>
    <w:rsid w:val="007F03C8"/>
    <w:rsid w:val="007F0F78"/>
    <w:rsid w:val="00814332"/>
    <w:rsid w:val="008F6C9D"/>
    <w:rsid w:val="00911604"/>
    <w:rsid w:val="00A028F2"/>
    <w:rsid w:val="00AC604F"/>
    <w:rsid w:val="00B9106E"/>
    <w:rsid w:val="00BE4CBF"/>
    <w:rsid w:val="00C42C6D"/>
    <w:rsid w:val="00C51327"/>
    <w:rsid w:val="00C548C8"/>
    <w:rsid w:val="00CE3E4B"/>
    <w:rsid w:val="00D833C8"/>
    <w:rsid w:val="00F22695"/>
    <w:rsid w:val="00F8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40284"/>
  <w15:docId w15:val="{4FCD88B9-ADE0-4043-A654-6AB3690C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106E"/>
    <w:pPr>
      <w:ind w:left="720"/>
      <w:contextualSpacing/>
    </w:pPr>
  </w:style>
  <w:style w:type="paragraph" w:styleId="Header">
    <w:name w:val="header"/>
    <w:basedOn w:val="Normal"/>
    <w:link w:val="HeaderChar"/>
    <w:uiPriority w:val="99"/>
    <w:unhideWhenUsed/>
    <w:rsid w:val="00AC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04F"/>
  </w:style>
  <w:style w:type="paragraph" w:styleId="Footer">
    <w:name w:val="footer"/>
    <w:basedOn w:val="Normal"/>
    <w:link w:val="FooterChar"/>
    <w:uiPriority w:val="99"/>
    <w:unhideWhenUsed/>
    <w:rsid w:val="00AC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04F"/>
  </w:style>
  <w:style w:type="character" w:styleId="CommentReference">
    <w:name w:val="annotation reference"/>
    <w:basedOn w:val="DefaultParagraphFont"/>
    <w:uiPriority w:val="99"/>
    <w:semiHidden/>
    <w:unhideWhenUsed/>
    <w:rsid w:val="00560116"/>
    <w:rPr>
      <w:sz w:val="16"/>
      <w:szCs w:val="16"/>
    </w:rPr>
  </w:style>
  <w:style w:type="paragraph" w:styleId="CommentText">
    <w:name w:val="annotation text"/>
    <w:basedOn w:val="Normal"/>
    <w:link w:val="CommentTextChar"/>
    <w:uiPriority w:val="99"/>
    <w:unhideWhenUsed/>
    <w:rsid w:val="00560116"/>
    <w:pPr>
      <w:spacing w:line="240" w:lineRule="auto"/>
    </w:pPr>
    <w:rPr>
      <w:sz w:val="20"/>
      <w:szCs w:val="20"/>
    </w:rPr>
  </w:style>
  <w:style w:type="character" w:customStyle="1" w:styleId="CommentTextChar">
    <w:name w:val="Comment Text Char"/>
    <w:basedOn w:val="DefaultParagraphFont"/>
    <w:link w:val="CommentText"/>
    <w:uiPriority w:val="99"/>
    <w:rsid w:val="00560116"/>
    <w:rPr>
      <w:sz w:val="20"/>
      <w:szCs w:val="20"/>
    </w:rPr>
  </w:style>
  <w:style w:type="paragraph" w:styleId="CommentSubject">
    <w:name w:val="annotation subject"/>
    <w:basedOn w:val="CommentText"/>
    <w:next w:val="CommentText"/>
    <w:link w:val="CommentSubjectChar"/>
    <w:uiPriority w:val="99"/>
    <w:semiHidden/>
    <w:unhideWhenUsed/>
    <w:rsid w:val="00560116"/>
    <w:rPr>
      <w:b/>
      <w:bCs/>
    </w:rPr>
  </w:style>
  <w:style w:type="character" w:customStyle="1" w:styleId="CommentSubjectChar">
    <w:name w:val="Comment Subject Char"/>
    <w:basedOn w:val="CommentTextChar"/>
    <w:link w:val="CommentSubject"/>
    <w:uiPriority w:val="99"/>
    <w:semiHidden/>
    <w:rsid w:val="00560116"/>
    <w:rPr>
      <w:b/>
      <w:bCs/>
      <w:sz w:val="20"/>
      <w:szCs w:val="20"/>
    </w:rPr>
  </w:style>
  <w:style w:type="character" w:customStyle="1" w:styleId="cf01">
    <w:name w:val="cf01"/>
    <w:basedOn w:val="DefaultParagraphFont"/>
    <w:rsid w:val="001676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sportbirmingham.org" TargetMode="External"/><Relationship Id="rId5" Type="http://schemas.openxmlformats.org/officeDocument/2006/relationships/styles" Target="styles.xml"/><Relationship Id="rId10" Type="http://schemas.openxmlformats.org/officeDocument/2006/relationships/hyperlink" Target="mailto:schools@sportbirmingha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88ef2a-685d-43e4-bd09-f55e3489122d" xsi:nil="true"/>
    <lcf76f155ced4ddcb4097134ff3c332f xmlns="c7d7b8a4-46b9-441a-b0b0-8284eade0d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F3A75E96B1C44AAD93AF65C25E26A" ma:contentTypeVersion="18" ma:contentTypeDescription="Create a new document." ma:contentTypeScope="" ma:versionID="ab430a46d81ad9a6aa0afd5cad44962e">
  <xsd:schema xmlns:xsd="http://www.w3.org/2001/XMLSchema" xmlns:xs="http://www.w3.org/2001/XMLSchema" xmlns:p="http://schemas.microsoft.com/office/2006/metadata/properties" xmlns:ns2="c7d7b8a4-46b9-441a-b0b0-8284eade0dc5" xmlns:ns3="3388ef2a-685d-43e4-bd09-f55e3489122d" targetNamespace="http://schemas.microsoft.com/office/2006/metadata/properties" ma:root="true" ma:fieldsID="eb94129434160094a799cf66c71beff0" ns2:_="" ns3:_="">
    <xsd:import namespace="c7d7b8a4-46b9-441a-b0b0-8284eade0dc5"/>
    <xsd:import namespace="3388ef2a-685d-43e4-bd09-f55e34891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7b8a4-46b9-441a-b0b0-8284eade0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c1c806-0013-4a3b-80c6-06489bf94c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8ef2a-685d-43e4-bd09-f55e34891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d1f940-9bc6-43cc-90db-17873c1c8f43}" ma:internalName="TaxCatchAll" ma:showField="CatchAllData" ma:web="3388ef2a-685d-43e4-bd09-f55e34891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6ADB5-0BF4-4AEC-AD0D-2EE9537851E2}">
  <ds:schemaRefs>
    <ds:schemaRef ds:uri="http://schemas.microsoft.com/office/2006/metadata/properties"/>
    <ds:schemaRef ds:uri="http://schemas.microsoft.com/office/infopath/2007/PartnerControls"/>
    <ds:schemaRef ds:uri="3388ef2a-685d-43e4-bd09-f55e3489122d"/>
    <ds:schemaRef ds:uri="c7d7b8a4-46b9-441a-b0b0-8284eade0dc5"/>
  </ds:schemaRefs>
</ds:datastoreItem>
</file>

<file path=customXml/itemProps2.xml><?xml version="1.0" encoding="utf-8"?>
<ds:datastoreItem xmlns:ds="http://schemas.openxmlformats.org/officeDocument/2006/customXml" ds:itemID="{7E425F7B-E9CA-4AAE-9005-BF0493047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7b8a4-46b9-441a-b0b0-8284eade0dc5"/>
    <ds:schemaRef ds:uri="3388ef2a-685d-43e4-bd09-f55e3489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46FA9-767F-4D15-8183-B8C5A3A07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Piller</dc:creator>
  <cp:lastModifiedBy>John Gage</cp:lastModifiedBy>
  <cp:revision>7</cp:revision>
  <dcterms:created xsi:type="dcterms:W3CDTF">2023-08-31T14:32:00Z</dcterms:created>
  <dcterms:modified xsi:type="dcterms:W3CDTF">2023-09-05T08:04:00Z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0x0101007E7F3A75E96B1C44AAD93AF65C25E26A</vt:lpwstr>
  </property>
</Properties>
</file>